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716" w:rsidRPr="00BB1EBB" w:rsidRDefault="00D37716" w:rsidP="00D37716">
      <w:pPr>
        <w:ind w:left="6300" w:firstLine="3765"/>
        <w:rPr>
          <w:color w:val="000000"/>
          <w:sz w:val="20"/>
        </w:rPr>
      </w:pPr>
      <w:r w:rsidRPr="00BB1EBB">
        <w:rPr>
          <w:color w:val="000000"/>
          <w:sz w:val="20"/>
        </w:rPr>
        <w:t xml:space="preserve">Приложение </w:t>
      </w:r>
      <w:r w:rsidRPr="005735D7">
        <w:rPr>
          <w:color w:val="000000" w:themeColor="text1"/>
          <w:sz w:val="20"/>
        </w:rPr>
        <w:t xml:space="preserve">№ </w:t>
      </w:r>
      <w:r w:rsidR="00AD01DF">
        <w:rPr>
          <w:color w:val="000000" w:themeColor="text1"/>
          <w:sz w:val="20"/>
          <w:lang w:val="en-US"/>
        </w:rPr>
        <w:t>5</w:t>
      </w:r>
      <w:r w:rsidR="001A66D6">
        <w:rPr>
          <w:color w:val="000000" w:themeColor="text1"/>
          <w:sz w:val="20"/>
        </w:rPr>
        <w:t xml:space="preserve"> </w:t>
      </w:r>
      <w:r w:rsidRPr="005735D7">
        <w:rPr>
          <w:color w:val="000000" w:themeColor="text1"/>
          <w:sz w:val="20"/>
        </w:rPr>
        <w:t xml:space="preserve">к </w:t>
      </w:r>
      <w:r w:rsidRPr="00BB1EBB">
        <w:rPr>
          <w:color w:val="000000"/>
          <w:sz w:val="20"/>
        </w:rPr>
        <w:t xml:space="preserve">протоколу </w:t>
      </w:r>
    </w:p>
    <w:p w:rsidR="00D37716" w:rsidRPr="00BB1EBB" w:rsidRDefault="00D37716" w:rsidP="00D37716">
      <w:pPr>
        <w:ind w:left="6300" w:firstLine="3765"/>
        <w:rPr>
          <w:color w:val="000000"/>
          <w:sz w:val="20"/>
        </w:rPr>
      </w:pPr>
      <w:r>
        <w:rPr>
          <w:color w:val="000000"/>
          <w:sz w:val="20"/>
        </w:rPr>
        <w:t>РГ РОА</w:t>
      </w:r>
      <w:r w:rsidRPr="00BB1EBB">
        <w:rPr>
          <w:color w:val="000000"/>
          <w:sz w:val="20"/>
        </w:rPr>
        <w:t xml:space="preserve"> № </w:t>
      </w:r>
      <w:r w:rsidR="001A66D6">
        <w:rPr>
          <w:color w:val="000000"/>
          <w:sz w:val="20"/>
        </w:rPr>
        <w:t>1</w:t>
      </w:r>
      <w:r w:rsidR="008E56B7">
        <w:rPr>
          <w:color w:val="000000"/>
          <w:sz w:val="20"/>
        </w:rPr>
        <w:t>7</w:t>
      </w:r>
      <w:r w:rsidRPr="00BB1EBB">
        <w:rPr>
          <w:color w:val="000000"/>
          <w:sz w:val="20"/>
        </w:rPr>
        <w:t>-20</w:t>
      </w:r>
      <w:r w:rsidR="006D0289">
        <w:rPr>
          <w:color w:val="000000"/>
          <w:sz w:val="20"/>
        </w:rPr>
        <w:t>2</w:t>
      </w:r>
      <w:r w:rsidR="008E56B7">
        <w:rPr>
          <w:color w:val="000000"/>
          <w:sz w:val="20"/>
        </w:rPr>
        <w:t>3</w:t>
      </w:r>
    </w:p>
    <w:p w:rsidR="00007725" w:rsidRDefault="00007725" w:rsidP="00007725">
      <w:pPr>
        <w:jc w:val="center"/>
        <w:rPr>
          <w:b/>
          <w:bCs/>
          <w:sz w:val="24"/>
          <w:szCs w:val="24"/>
        </w:rPr>
      </w:pPr>
    </w:p>
    <w:p w:rsidR="004710B1" w:rsidRPr="007C210E" w:rsidRDefault="007C210E" w:rsidP="004710B1">
      <w:pPr>
        <w:jc w:val="center"/>
        <w:rPr>
          <w:rFonts w:ascii="Arial" w:hAnsi="Arial" w:cs="Arial"/>
          <w:b/>
          <w:sz w:val="22"/>
          <w:szCs w:val="22"/>
        </w:rPr>
      </w:pPr>
      <w:r w:rsidRPr="007C210E">
        <w:rPr>
          <w:rFonts w:ascii="Arial" w:hAnsi="Arial" w:cs="Arial"/>
          <w:b/>
          <w:sz w:val="22"/>
          <w:szCs w:val="22"/>
        </w:rPr>
        <w:t>Суждения</w:t>
      </w:r>
    </w:p>
    <w:p w:rsidR="004710B1" w:rsidRPr="007C210E" w:rsidRDefault="004710B1" w:rsidP="004710B1">
      <w:pPr>
        <w:jc w:val="center"/>
        <w:rPr>
          <w:rFonts w:ascii="Arial" w:hAnsi="Arial" w:cs="Arial"/>
          <w:b/>
          <w:sz w:val="22"/>
          <w:szCs w:val="22"/>
        </w:rPr>
      </w:pPr>
      <w:r w:rsidRPr="007C210E">
        <w:rPr>
          <w:rFonts w:ascii="Arial" w:hAnsi="Arial" w:cs="Arial"/>
          <w:b/>
          <w:sz w:val="22"/>
          <w:szCs w:val="22"/>
        </w:rPr>
        <w:t xml:space="preserve">национальных органов </w:t>
      </w:r>
      <w:r w:rsidR="007C210E" w:rsidRPr="007C210E">
        <w:rPr>
          <w:rFonts w:ascii="Arial" w:hAnsi="Arial" w:cs="Arial"/>
          <w:b/>
          <w:sz w:val="22"/>
          <w:szCs w:val="22"/>
        </w:rPr>
        <w:t xml:space="preserve">в отношении </w:t>
      </w:r>
      <w:r w:rsidR="002F3C22" w:rsidRPr="007C210E">
        <w:rPr>
          <w:rFonts w:ascii="Arial" w:hAnsi="Arial" w:cs="Arial"/>
          <w:b/>
          <w:sz w:val="22"/>
          <w:szCs w:val="22"/>
        </w:rPr>
        <w:t>предложени</w:t>
      </w:r>
      <w:r w:rsidR="007C210E" w:rsidRPr="007C210E">
        <w:rPr>
          <w:rFonts w:ascii="Arial" w:hAnsi="Arial" w:cs="Arial"/>
          <w:b/>
          <w:sz w:val="22"/>
          <w:szCs w:val="22"/>
        </w:rPr>
        <w:t>й</w:t>
      </w:r>
      <w:r w:rsidR="002F3C22" w:rsidRPr="007C210E">
        <w:rPr>
          <w:rFonts w:ascii="Arial" w:hAnsi="Arial" w:cs="Arial"/>
          <w:b/>
          <w:sz w:val="22"/>
          <w:szCs w:val="22"/>
        </w:rPr>
        <w:t xml:space="preserve"> БГЦА </w:t>
      </w:r>
      <w:r w:rsidR="007C210E" w:rsidRPr="007C210E">
        <w:rPr>
          <w:rFonts w:ascii="Arial" w:hAnsi="Arial" w:cs="Arial"/>
          <w:b/>
          <w:sz w:val="22"/>
          <w:szCs w:val="22"/>
        </w:rPr>
        <w:br/>
      </w:r>
      <w:r w:rsidR="002F3C22" w:rsidRPr="007C210E">
        <w:rPr>
          <w:rFonts w:ascii="Arial" w:hAnsi="Arial" w:cs="Arial"/>
          <w:b/>
          <w:sz w:val="22"/>
          <w:szCs w:val="22"/>
        </w:rPr>
        <w:t>в соответствии с п. 11.1 протокола НТКА № 50-2022</w:t>
      </w:r>
    </w:p>
    <w:p w:rsidR="00342886" w:rsidRPr="007C210E" w:rsidRDefault="00342886" w:rsidP="004710B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Style w:val="1"/>
        <w:tblW w:w="13184" w:type="dxa"/>
        <w:tblLayout w:type="fixed"/>
        <w:tblLook w:val="0680" w:firstRow="0" w:lastRow="0" w:firstColumn="1" w:lastColumn="0" w:noHBand="1" w:noVBand="1"/>
      </w:tblPr>
      <w:tblGrid>
        <w:gridCol w:w="13184"/>
      </w:tblGrid>
      <w:tr w:rsidR="009006FD" w:rsidRPr="007C210E" w:rsidTr="009674C5">
        <w:trPr>
          <w:trHeight w:val="461"/>
        </w:trPr>
        <w:tc>
          <w:tcPr>
            <w:tcW w:w="13184" w:type="dxa"/>
          </w:tcPr>
          <w:p w:rsidR="007C210E" w:rsidRPr="007C210E" w:rsidRDefault="007C210E" w:rsidP="007C210E">
            <w:pPr>
              <w:spacing w:before="60" w:after="60" w:line="200" w:lineRule="exact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Суждения</w:t>
            </w:r>
            <w:r w:rsidRPr="007C210E">
              <w:rPr>
                <w:rFonts w:ascii="Arial" w:hAnsi="Arial" w:cs="Arial"/>
                <w:sz w:val="22"/>
                <w:szCs w:val="22"/>
              </w:rPr>
              <w:t xml:space="preserve"> национальных органов по аккредитации </w:t>
            </w:r>
          </w:p>
          <w:p w:rsidR="009006FD" w:rsidRPr="007C210E" w:rsidRDefault="007C210E" w:rsidP="007C210E">
            <w:pPr>
              <w:pStyle w:val="aa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210E">
              <w:rPr>
                <w:rFonts w:ascii="Arial" w:hAnsi="Arial" w:cs="Arial"/>
                <w:sz w:val="22"/>
                <w:szCs w:val="22"/>
              </w:rPr>
              <w:t>государств-участников СНГ</w:t>
            </w:r>
          </w:p>
        </w:tc>
      </w:tr>
      <w:tr w:rsidR="007C210E" w:rsidRPr="007C210E" w:rsidTr="00DE32FA">
        <w:trPr>
          <w:trHeight w:val="461"/>
        </w:trPr>
        <w:tc>
          <w:tcPr>
            <w:tcW w:w="13184" w:type="dxa"/>
            <w:shd w:val="clear" w:color="auto" w:fill="FDE9D9" w:themeFill="accent6" w:themeFillTint="33"/>
          </w:tcPr>
          <w:p w:rsidR="007C210E" w:rsidRPr="0099119B" w:rsidRDefault="007C210E" w:rsidP="00D14137">
            <w:pPr>
              <w:pStyle w:val="aa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9119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О целесообразности пересмотра Модельного закона «Об аккредитации в области оценки соответствия», </w:t>
            </w:r>
            <w:r w:rsidR="0099119B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9119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(утв. постановлением Межпарламентской ассамблеи государств-участников СНГ №44-13 от 20 мая 2016 года) </w:t>
            </w:r>
            <w:r w:rsidR="0099119B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9119B">
              <w:rPr>
                <w:rFonts w:ascii="Arial" w:hAnsi="Arial" w:cs="Arial"/>
                <w:b/>
                <w:bCs/>
                <w:sz w:val="22"/>
                <w:szCs w:val="22"/>
              </w:rPr>
              <w:t>в соответствии с новой версией стандарта ISO/IEC 17011</w:t>
            </w:r>
          </w:p>
        </w:tc>
      </w:tr>
      <w:tr w:rsidR="00EE356C" w:rsidRPr="007C210E" w:rsidTr="0042175F">
        <w:trPr>
          <w:trHeight w:val="461"/>
        </w:trPr>
        <w:tc>
          <w:tcPr>
            <w:tcW w:w="13184" w:type="dxa"/>
            <w:shd w:val="clear" w:color="auto" w:fill="D6E3BC" w:themeFill="accent3" w:themeFillTint="66"/>
          </w:tcPr>
          <w:p w:rsidR="0042175F" w:rsidRPr="007C210E" w:rsidRDefault="00EE356C" w:rsidP="004217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210E">
              <w:rPr>
                <w:rFonts w:ascii="Arial" w:hAnsi="Arial" w:cs="Arial"/>
                <w:b/>
                <w:sz w:val="22"/>
                <w:szCs w:val="22"/>
              </w:rPr>
              <w:t xml:space="preserve">Российская </w:t>
            </w:r>
            <w:r w:rsidR="001F799B" w:rsidRPr="007C210E">
              <w:rPr>
                <w:rFonts w:ascii="Arial" w:hAnsi="Arial" w:cs="Arial"/>
                <w:b/>
                <w:sz w:val="22"/>
                <w:szCs w:val="22"/>
              </w:rPr>
              <w:t xml:space="preserve">Федерация </w:t>
            </w:r>
            <w:r w:rsidR="001F799B" w:rsidRPr="007C210E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AC0D84" w:rsidRPr="007C210E">
              <w:rPr>
                <w:rFonts w:ascii="Arial" w:hAnsi="Arial" w:cs="Arial"/>
                <w:sz w:val="22"/>
                <w:szCs w:val="22"/>
              </w:rPr>
              <w:t>(</w:t>
            </w:r>
            <w:r w:rsidR="0042175F" w:rsidRPr="007C210E">
              <w:rPr>
                <w:rFonts w:ascii="Arial" w:hAnsi="Arial" w:cs="Arial"/>
                <w:sz w:val="22"/>
                <w:szCs w:val="22"/>
              </w:rPr>
              <w:t xml:space="preserve">эл. </w:t>
            </w:r>
            <w:r w:rsidR="008E1699" w:rsidRPr="007C210E">
              <w:rPr>
                <w:rFonts w:ascii="Arial" w:hAnsi="Arial" w:cs="Arial"/>
                <w:sz w:val="22"/>
                <w:szCs w:val="22"/>
              </w:rPr>
              <w:t>письмо</w:t>
            </w:r>
            <w:r w:rsidR="0042175F" w:rsidRPr="007C210E">
              <w:rPr>
                <w:rFonts w:ascii="Arial" w:hAnsi="Arial" w:cs="Arial"/>
                <w:sz w:val="22"/>
                <w:szCs w:val="22"/>
              </w:rPr>
              <w:t xml:space="preserve"> начальника отдела международного взаимодействия и системы менеджмента</w:t>
            </w:r>
          </w:p>
          <w:p w:rsidR="0042175F" w:rsidRPr="007C210E" w:rsidRDefault="0042175F" w:rsidP="004217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210E">
              <w:rPr>
                <w:rFonts w:ascii="Arial" w:hAnsi="Arial" w:cs="Arial"/>
                <w:sz w:val="22"/>
                <w:szCs w:val="22"/>
              </w:rPr>
              <w:t>Управления правового обеспечения и международного взаимодействия</w:t>
            </w:r>
          </w:p>
          <w:p w:rsidR="00EE356C" w:rsidRPr="007C210E" w:rsidRDefault="0042175F" w:rsidP="004217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210E">
              <w:rPr>
                <w:rFonts w:ascii="Arial" w:hAnsi="Arial" w:cs="Arial"/>
                <w:sz w:val="22"/>
                <w:szCs w:val="22"/>
              </w:rPr>
              <w:t>Федеральной службы по аккредитации Подвязникова А.А. от 13.02.2023)</w:t>
            </w:r>
          </w:p>
        </w:tc>
      </w:tr>
      <w:tr w:rsidR="002F3C22" w:rsidRPr="007C210E" w:rsidTr="0022067E">
        <w:trPr>
          <w:trHeight w:val="461"/>
        </w:trPr>
        <w:tc>
          <w:tcPr>
            <w:tcW w:w="13184" w:type="dxa"/>
            <w:shd w:val="clear" w:color="auto" w:fill="D6E3BC" w:themeFill="accent3" w:themeFillTint="66"/>
          </w:tcPr>
          <w:p w:rsidR="002F3C22" w:rsidRPr="007C210E" w:rsidRDefault="002F3C22" w:rsidP="002F3C2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210E">
              <w:rPr>
                <w:rFonts w:ascii="Arial" w:hAnsi="Arial" w:cs="Arial"/>
                <w:sz w:val="22"/>
                <w:szCs w:val="22"/>
              </w:rPr>
              <w:t>Существующий Модельный закон был принят 20.05.2016 г. Межпарламентской Ассамблеей государств-участников СНГ. В соответствии с п. 1.2 Положения о разработке модельных законодательных актов и рекомендаций Межпарламентской Ассамблеи государств-участников Содружества Независимых Государств (прилагается), модельный закон представляет собой «законодательный акт рекомендательного характера, принятый Межпарламентской Ассамблеей в установленном порядке, в целях формирования и осуществления согласованной законодательной деятельности государств – участников Межпарламентской Ассамблеи по вопросам, представляющим общий интерес, приведения законодательства государств – участников Содружества в соответствие с международными договорами, заключенными в рамках Содружества, и иными международными договорами, участие в которых государств – участников Содружества является весьма желательным для достижения общих целей».</w:t>
            </w:r>
          </w:p>
          <w:p w:rsidR="002F3C22" w:rsidRPr="007C210E" w:rsidRDefault="002F3C22" w:rsidP="002F3C2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210E">
              <w:rPr>
                <w:rFonts w:ascii="Arial" w:hAnsi="Arial" w:cs="Arial"/>
                <w:sz w:val="22"/>
                <w:szCs w:val="22"/>
              </w:rPr>
              <w:t xml:space="preserve">На момент разработки и принятия, Модельный закон, безусловно, являлся востребованным как инструмент гармонизации национальных законодательств по аккредитации в области оценки соответствия, в том числе и с международными нормами, имея в виду задачу получения национальными органами-участниками МГС международного признания в </w:t>
            </w:r>
            <w:r w:rsidRPr="007C210E">
              <w:rPr>
                <w:rFonts w:ascii="Arial" w:hAnsi="Arial" w:cs="Arial"/>
                <w:sz w:val="22"/>
                <w:szCs w:val="22"/>
                <w:lang w:val="en-US"/>
              </w:rPr>
              <w:t>ILAC</w:t>
            </w:r>
            <w:r w:rsidRPr="007C210E">
              <w:rPr>
                <w:rFonts w:ascii="Arial" w:hAnsi="Arial" w:cs="Arial"/>
                <w:sz w:val="22"/>
                <w:szCs w:val="22"/>
              </w:rPr>
              <w:t>/</w:t>
            </w:r>
            <w:r w:rsidRPr="007C210E">
              <w:rPr>
                <w:rFonts w:ascii="Arial" w:hAnsi="Arial" w:cs="Arial"/>
                <w:sz w:val="22"/>
                <w:szCs w:val="22"/>
                <w:lang w:val="en-US"/>
              </w:rPr>
              <w:t>IAF</w:t>
            </w:r>
            <w:r w:rsidRPr="007C210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2F3C22" w:rsidRPr="007C210E" w:rsidRDefault="002F3C22" w:rsidP="002F3C2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210E">
              <w:rPr>
                <w:rFonts w:ascii="Arial" w:hAnsi="Arial" w:cs="Arial"/>
                <w:sz w:val="22"/>
                <w:szCs w:val="22"/>
              </w:rPr>
              <w:t>После принятия Модельного закона была проделана большая работа, направленная на создание в государствах СНГ национального законодательства, гармонизированного с международным, в том числе в рамках региональных интеграционных объединений, прежде всего ЕАЭС. Подтвержден</w:t>
            </w:r>
            <w:bookmarkStart w:id="0" w:name="_GoBack"/>
            <w:bookmarkEnd w:id="0"/>
            <w:r w:rsidRPr="007C210E">
              <w:rPr>
                <w:rFonts w:ascii="Arial" w:hAnsi="Arial" w:cs="Arial"/>
                <w:sz w:val="22"/>
                <w:szCs w:val="22"/>
              </w:rPr>
              <w:t xml:space="preserve">ием этому стало успешное прохождение международных оценок по линии </w:t>
            </w:r>
            <w:r w:rsidRPr="007C210E">
              <w:rPr>
                <w:rFonts w:ascii="Arial" w:hAnsi="Arial" w:cs="Arial"/>
                <w:sz w:val="22"/>
                <w:szCs w:val="22"/>
                <w:lang w:val="en-US"/>
              </w:rPr>
              <w:t>ILAC</w:t>
            </w:r>
            <w:r w:rsidRPr="007C210E">
              <w:rPr>
                <w:rFonts w:ascii="Arial" w:hAnsi="Arial" w:cs="Arial"/>
                <w:sz w:val="22"/>
                <w:szCs w:val="22"/>
              </w:rPr>
              <w:t xml:space="preserve">/IAF   и получение международного признания в 2017 – 2022 г. национальными органами по аккредитации-членами МГС из Российской Федерации, Республики Беларусь, Грузии, Молдовы и Узбекистана. Кроме того, национальные органы по аккредитации Армении и Азербайджана участвуют в работе европейской региональной организации по аккредитации – ЕА, хотя пока что и не присоединились к соответствующему механизму взаимного признания. Вопросы совершенствования и гармонизации законодательства в области аккредитации являются одним из основных направлений действующего с 2018 г. Совета руководителей органов по аккредитации государств-членов Евразийского экономического союза. Получившие международное признание национальные органы по аккредитации-участники МГС эффективно и в </w:t>
            </w:r>
            <w:r w:rsidRPr="007C210E">
              <w:rPr>
                <w:rFonts w:ascii="Arial" w:hAnsi="Arial" w:cs="Arial"/>
                <w:sz w:val="22"/>
                <w:szCs w:val="22"/>
              </w:rPr>
              <w:lastRenderedPageBreak/>
              <w:t xml:space="preserve">режиме реального времени решают вопросы внедрения в свои национальные системы аккредитации новых обязательных международных требований в области аккредитации и оценки соответствия, что позволило им в установленные </w:t>
            </w:r>
            <w:r w:rsidRPr="007C210E">
              <w:rPr>
                <w:rFonts w:ascii="Arial" w:hAnsi="Arial" w:cs="Arial"/>
                <w:sz w:val="22"/>
                <w:szCs w:val="22"/>
                <w:lang w:val="en-US"/>
              </w:rPr>
              <w:t>ILAC</w:t>
            </w:r>
            <w:r w:rsidRPr="007C210E">
              <w:rPr>
                <w:rFonts w:ascii="Arial" w:hAnsi="Arial" w:cs="Arial"/>
                <w:sz w:val="22"/>
                <w:szCs w:val="22"/>
              </w:rPr>
              <w:t>/</w:t>
            </w:r>
            <w:r w:rsidRPr="007C210E">
              <w:rPr>
                <w:rFonts w:ascii="Arial" w:hAnsi="Arial" w:cs="Arial"/>
                <w:sz w:val="22"/>
                <w:szCs w:val="22"/>
                <w:lang w:val="en-US"/>
              </w:rPr>
              <w:t>IAF</w:t>
            </w:r>
            <w:r w:rsidRPr="007C210E">
              <w:rPr>
                <w:rFonts w:ascii="Arial" w:hAnsi="Arial" w:cs="Arial"/>
                <w:sz w:val="22"/>
                <w:szCs w:val="22"/>
              </w:rPr>
              <w:t xml:space="preserve"> сроки перейти на новые версии международных стандартов </w:t>
            </w:r>
            <w:r w:rsidRPr="007C210E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7C210E">
              <w:rPr>
                <w:rFonts w:ascii="Arial" w:hAnsi="Arial" w:cs="Arial"/>
                <w:sz w:val="22"/>
                <w:szCs w:val="22"/>
              </w:rPr>
              <w:t>/</w:t>
            </w:r>
            <w:r w:rsidRPr="007C210E">
              <w:rPr>
                <w:rFonts w:ascii="Arial" w:hAnsi="Arial" w:cs="Arial"/>
                <w:sz w:val="22"/>
                <w:szCs w:val="22"/>
                <w:lang w:val="en-US"/>
              </w:rPr>
              <w:t>IEC</w:t>
            </w:r>
            <w:r w:rsidRPr="007C210E">
              <w:rPr>
                <w:rFonts w:ascii="Arial" w:hAnsi="Arial" w:cs="Arial"/>
                <w:sz w:val="22"/>
                <w:szCs w:val="22"/>
              </w:rPr>
              <w:t xml:space="preserve"> 17011:2017 и </w:t>
            </w:r>
            <w:r w:rsidRPr="007C210E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7C210E">
              <w:rPr>
                <w:rFonts w:ascii="Arial" w:hAnsi="Arial" w:cs="Arial"/>
                <w:sz w:val="22"/>
                <w:szCs w:val="22"/>
              </w:rPr>
              <w:t>/</w:t>
            </w:r>
            <w:r w:rsidRPr="007C210E">
              <w:rPr>
                <w:rFonts w:ascii="Arial" w:hAnsi="Arial" w:cs="Arial"/>
                <w:sz w:val="22"/>
                <w:szCs w:val="22"/>
                <w:lang w:val="en-US"/>
              </w:rPr>
              <w:t>IEC</w:t>
            </w:r>
            <w:r w:rsidRPr="007C210E">
              <w:rPr>
                <w:rFonts w:ascii="Arial" w:hAnsi="Arial" w:cs="Arial"/>
                <w:sz w:val="22"/>
                <w:szCs w:val="22"/>
              </w:rPr>
              <w:t xml:space="preserve"> 17025:2017. </w:t>
            </w:r>
          </w:p>
          <w:p w:rsidR="002F3C22" w:rsidRPr="007C210E" w:rsidRDefault="002F3C22" w:rsidP="00AC0D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210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В этой связи, практическая целесообразность пересмотра Модельного закона представляется неочевидной. </w:t>
            </w:r>
          </w:p>
        </w:tc>
      </w:tr>
      <w:tr w:rsidR="003D6FB4" w:rsidRPr="007C210E" w:rsidTr="00D526FC">
        <w:trPr>
          <w:trHeight w:val="372"/>
        </w:trPr>
        <w:tc>
          <w:tcPr>
            <w:tcW w:w="13184" w:type="dxa"/>
            <w:shd w:val="clear" w:color="auto" w:fill="D6E3BC" w:themeFill="accent3" w:themeFillTint="66"/>
          </w:tcPr>
          <w:p w:rsidR="003D6FB4" w:rsidRPr="007C210E" w:rsidRDefault="003D6FB4" w:rsidP="003D6FB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210E">
              <w:rPr>
                <w:rFonts w:ascii="Arial" w:hAnsi="Arial" w:cs="Arial"/>
                <w:b/>
                <w:sz w:val="22"/>
                <w:szCs w:val="22"/>
              </w:rPr>
              <w:lastRenderedPageBreak/>
              <w:t>Республика Узбекистан</w:t>
            </w:r>
          </w:p>
          <w:p w:rsidR="00AB0298" w:rsidRPr="007C210E" w:rsidRDefault="003D6FB4" w:rsidP="00BE14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210E">
              <w:rPr>
                <w:rFonts w:ascii="Arial" w:hAnsi="Arial" w:cs="Arial"/>
                <w:sz w:val="22"/>
                <w:szCs w:val="22"/>
              </w:rPr>
              <w:t>(</w:t>
            </w:r>
            <w:r w:rsidR="000A3332" w:rsidRPr="007C210E">
              <w:rPr>
                <w:rFonts w:ascii="Arial" w:hAnsi="Arial" w:cs="Arial"/>
                <w:sz w:val="22"/>
                <w:szCs w:val="22"/>
              </w:rPr>
              <w:t>письмо</w:t>
            </w:r>
            <w:r w:rsidR="00BE14AB" w:rsidRPr="007C210E">
              <w:rPr>
                <w:rFonts w:ascii="Arial" w:hAnsi="Arial" w:cs="Arial"/>
                <w:sz w:val="22"/>
                <w:szCs w:val="22"/>
              </w:rPr>
              <w:t xml:space="preserve"> заместителя директора ГУП «Узбекский центр аккредитации</w:t>
            </w:r>
            <w:r w:rsidR="00372EBE">
              <w:rPr>
                <w:rFonts w:ascii="Arial" w:hAnsi="Arial" w:cs="Arial"/>
                <w:sz w:val="22"/>
                <w:szCs w:val="22"/>
              </w:rPr>
              <w:t>»</w:t>
            </w:r>
            <w:r w:rsidR="00BE14AB" w:rsidRPr="007C210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B0298" w:rsidRPr="007C210E">
              <w:rPr>
                <w:rFonts w:ascii="Arial" w:hAnsi="Arial" w:cs="Arial"/>
                <w:sz w:val="22"/>
                <w:szCs w:val="22"/>
              </w:rPr>
              <w:t>З.</w:t>
            </w:r>
            <w:r w:rsidR="002F67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B0298" w:rsidRPr="007C210E">
              <w:rPr>
                <w:rFonts w:ascii="Arial" w:hAnsi="Arial" w:cs="Arial"/>
                <w:sz w:val="22"/>
                <w:szCs w:val="22"/>
              </w:rPr>
              <w:t>Ахмедова</w:t>
            </w:r>
          </w:p>
          <w:p w:rsidR="003D6FB4" w:rsidRPr="007C210E" w:rsidRDefault="00BE14AB" w:rsidP="002F3C2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210E">
              <w:rPr>
                <w:rFonts w:ascii="Arial" w:hAnsi="Arial" w:cs="Arial"/>
                <w:sz w:val="22"/>
                <w:szCs w:val="22"/>
              </w:rPr>
              <w:t>№ 01/</w:t>
            </w:r>
            <w:r w:rsidR="002F3C22" w:rsidRPr="007C210E">
              <w:rPr>
                <w:rFonts w:ascii="Arial" w:hAnsi="Arial" w:cs="Arial"/>
                <w:sz w:val="22"/>
                <w:szCs w:val="22"/>
              </w:rPr>
              <w:t>218</w:t>
            </w:r>
            <w:r w:rsidRPr="007C210E">
              <w:rPr>
                <w:rFonts w:ascii="Arial" w:hAnsi="Arial" w:cs="Arial"/>
                <w:sz w:val="22"/>
                <w:szCs w:val="22"/>
              </w:rPr>
              <w:t xml:space="preserve"> от 1</w:t>
            </w:r>
            <w:r w:rsidR="002F3C22" w:rsidRPr="007C210E">
              <w:rPr>
                <w:rFonts w:ascii="Arial" w:hAnsi="Arial" w:cs="Arial"/>
                <w:sz w:val="22"/>
                <w:szCs w:val="22"/>
              </w:rPr>
              <w:t>5</w:t>
            </w:r>
            <w:r w:rsidRPr="007C210E">
              <w:rPr>
                <w:rFonts w:ascii="Arial" w:hAnsi="Arial" w:cs="Arial"/>
                <w:sz w:val="22"/>
                <w:szCs w:val="22"/>
              </w:rPr>
              <w:t>.0</w:t>
            </w:r>
            <w:r w:rsidR="002F3C22" w:rsidRPr="007C210E">
              <w:rPr>
                <w:rFonts w:ascii="Arial" w:hAnsi="Arial" w:cs="Arial"/>
                <w:sz w:val="22"/>
                <w:szCs w:val="22"/>
              </w:rPr>
              <w:t>2</w:t>
            </w:r>
            <w:r w:rsidRPr="007C210E">
              <w:rPr>
                <w:rFonts w:ascii="Arial" w:hAnsi="Arial" w:cs="Arial"/>
                <w:sz w:val="22"/>
                <w:szCs w:val="22"/>
              </w:rPr>
              <w:t>.2023</w:t>
            </w:r>
            <w:r w:rsidR="00AB0298" w:rsidRPr="007C210E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7C210E" w:rsidRPr="007C210E" w:rsidTr="00125860">
        <w:trPr>
          <w:trHeight w:val="372"/>
        </w:trPr>
        <w:tc>
          <w:tcPr>
            <w:tcW w:w="13184" w:type="dxa"/>
            <w:shd w:val="clear" w:color="auto" w:fill="D6E3BC" w:themeFill="accent3" w:themeFillTint="66"/>
          </w:tcPr>
          <w:p w:rsidR="007C210E" w:rsidRPr="007C210E" w:rsidRDefault="007C210E" w:rsidP="000A3332">
            <w:pPr>
              <w:rPr>
                <w:rFonts w:ascii="Arial" w:hAnsi="Arial" w:cs="Arial"/>
                <w:sz w:val="22"/>
                <w:szCs w:val="22"/>
              </w:rPr>
            </w:pPr>
            <w:r w:rsidRPr="007C210E">
              <w:rPr>
                <w:rFonts w:ascii="Arial" w:hAnsi="Arial" w:cs="Arial"/>
                <w:sz w:val="22"/>
                <w:szCs w:val="22"/>
              </w:rPr>
              <w:t xml:space="preserve">Вопрос о пересмотре Модельного закона «Об аккредитации в области оценки соответствия» (утв. постановлением Межпарламентской ассамблеи государств-участников СНГ №44-13 от 20 мая 2016 года) в соответствии с новой версией стандарта </w:t>
            </w:r>
            <w:r w:rsidRPr="007C210E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7C210E">
              <w:rPr>
                <w:rFonts w:ascii="Arial" w:hAnsi="Arial" w:cs="Arial"/>
                <w:sz w:val="22"/>
                <w:szCs w:val="22"/>
              </w:rPr>
              <w:t>/</w:t>
            </w:r>
            <w:r w:rsidRPr="007C210E">
              <w:rPr>
                <w:rFonts w:ascii="Arial" w:hAnsi="Arial" w:cs="Arial"/>
                <w:sz w:val="22"/>
                <w:szCs w:val="22"/>
                <w:lang w:val="en-US"/>
              </w:rPr>
              <w:t>IEC</w:t>
            </w:r>
            <w:r w:rsidRPr="007C210E">
              <w:rPr>
                <w:rFonts w:ascii="Arial" w:hAnsi="Arial" w:cs="Arial"/>
                <w:sz w:val="22"/>
                <w:szCs w:val="22"/>
              </w:rPr>
              <w:t xml:space="preserve"> 17011, </w:t>
            </w:r>
            <w:r w:rsidRPr="007C210E">
              <w:rPr>
                <w:rFonts w:ascii="Arial" w:hAnsi="Arial" w:cs="Arial"/>
                <w:b/>
                <w:sz w:val="22"/>
                <w:szCs w:val="22"/>
              </w:rPr>
              <w:t xml:space="preserve">полагаем нецелесообразным. </w:t>
            </w:r>
            <w:r w:rsidRPr="007C210E">
              <w:rPr>
                <w:rFonts w:ascii="Arial" w:hAnsi="Arial" w:cs="Arial"/>
                <w:sz w:val="22"/>
                <w:szCs w:val="22"/>
              </w:rPr>
              <w:t>В настоящее время при осуществлении деятельности в области аккредитации Национальные органы по аккредитации государств-участников СНГ всецело руководствуются принципами и нормами, обусловленными указанным международным стандартом, а также имеют действующее национальное законодательство, применяемой в данной сфере. Кроме того, в дальнейшем при пересмотре и внесении изменений в международный стандарт, также будет необходимо вносить данные изменения в модельный закон.</w:t>
            </w:r>
          </w:p>
        </w:tc>
      </w:tr>
      <w:tr w:rsidR="007C210E" w:rsidRPr="0099119B" w:rsidTr="00DE32FA">
        <w:trPr>
          <w:trHeight w:val="372"/>
        </w:trPr>
        <w:tc>
          <w:tcPr>
            <w:tcW w:w="13184" w:type="dxa"/>
            <w:shd w:val="clear" w:color="auto" w:fill="FDE9D9" w:themeFill="accent6" w:themeFillTint="33"/>
          </w:tcPr>
          <w:p w:rsidR="007C210E" w:rsidRPr="0099119B" w:rsidRDefault="007C210E" w:rsidP="0099119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9119B">
              <w:rPr>
                <w:rFonts w:ascii="Arial" w:hAnsi="Arial" w:cs="Arial"/>
                <w:b/>
                <w:sz w:val="22"/>
                <w:szCs w:val="22"/>
              </w:rPr>
              <w:t>О целесообразности подготовки аналитического обзора по системам аккредитации государств-участников СНГ</w:t>
            </w:r>
          </w:p>
        </w:tc>
      </w:tr>
      <w:tr w:rsidR="00DE32FA" w:rsidRPr="007C210E" w:rsidTr="00101D3E">
        <w:trPr>
          <w:trHeight w:val="372"/>
        </w:trPr>
        <w:tc>
          <w:tcPr>
            <w:tcW w:w="13184" w:type="dxa"/>
            <w:shd w:val="clear" w:color="auto" w:fill="D6E3BC" w:themeFill="accent3" w:themeFillTint="66"/>
          </w:tcPr>
          <w:p w:rsidR="00DE32FA" w:rsidRPr="00DE32FA" w:rsidRDefault="00DE32FA" w:rsidP="00DE32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2FA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</w:p>
          <w:p w:rsidR="00DE32FA" w:rsidRPr="00DE32FA" w:rsidRDefault="00DE32FA" w:rsidP="00DE32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2FA">
              <w:rPr>
                <w:rFonts w:ascii="Arial" w:hAnsi="Arial" w:cs="Arial"/>
                <w:sz w:val="22"/>
                <w:szCs w:val="22"/>
              </w:rPr>
              <w:t>(эл. письмо начальника отдела международного взаимодействия и системы менеджмента</w:t>
            </w:r>
          </w:p>
          <w:p w:rsidR="00DE32FA" w:rsidRPr="00DE32FA" w:rsidRDefault="00DE32FA" w:rsidP="00DE32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2FA">
              <w:rPr>
                <w:rFonts w:ascii="Arial" w:hAnsi="Arial" w:cs="Arial"/>
                <w:sz w:val="22"/>
                <w:szCs w:val="22"/>
              </w:rPr>
              <w:t>Управления правового обеспечения и международного взаимодействия</w:t>
            </w:r>
          </w:p>
          <w:p w:rsidR="00DE32FA" w:rsidRDefault="00DE32FA" w:rsidP="00DE32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2FA">
              <w:rPr>
                <w:rFonts w:ascii="Arial" w:hAnsi="Arial" w:cs="Arial"/>
                <w:sz w:val="22"/>
                <w:szCs w:val="22"/>
              </w:rPr>
              <w:t>Федеральной службы по аккредитации Подвязникова А.А. от 13.02.2023)</w:t>
            </w:r>
          </w:p>
        </w:tc>
      </w:tr>
      <w:tr w:rsidR="007C210E" w:rsidRPr="007C210E" w:rsidTr="00125860">
        <w:trPr>
          <w:trHeight w:val="372"/>
        </w:trPr>
        <w:tc>
          <w:tcPr>
            <w:tcW w:w="13184" w:type="dxa"/>
            <w:shd w:val="clear" w:color="auto" w:fill="D6E3BC" w:themeFill="accent3" w:themeFillTint="66"/>
          </w:tcPr>
          <w:p w:rsidR="00DE32FA" w:rsidRPr="00DE32FA" w:rsidRDefault="00DE32FA" w:rsidP="00DE32F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E32FA">
              <w:rPr>
                <w:rFonts w:ascii="Arial" w:hAnsi="Arial" w:cs="Arial"/>
                <w:sz w:val="22"/>
                <w:szCs w:val="22"/>
              </w:rPr>
              <w:t>В отношении целесообразности возобновления практики подготовки аналитических обзоров по системам аккредитации государств-участников СНГ сообщаем, что ранее такого рода обзоры направлялись национальными органами в Бюро по стандартам МГС для последующего размещения соответствующей информации на официальном сайте МГС: https://easc.by/informatsionnye-resursy/akkreditatsiya . Форма обзора в действующей редакции была утверждена на 49 ом заседании МГС, состоявшемся 27-28.06.2016 г. в г. Баку (Азербайджан) и в качестве приложения № 51 включена в состав итогового протокола.</w:t>
            </w:r>
          </w:p>
          <w:p w:rsidR="00DE32FA" w:rsidRPr="00DE32FA" w:rsidRDefault="00DE32FA" w:rsidP="00DE32F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E32FA">
              <w:rPr>
                <w:rFonts w:ascii="Arial" w:hAnsi="Arial" w:cs="Arial"/>
                <w:sz w:val="22"/>
                <w:szCs w:val="22"/>
              </w:rPr>
              <w:t xml:space="preserve">На 41-ом заседании НТКА, состоявшемся 15.03.2018 г. в г. Ташкент (Узбекистан), было принято решение о доработке формы аналитического обзора (п.2 протокола). На 43-м заседании НТКА, состоявшемся 01.05.2019 г. в г. </w:t>
            </w:r>
            <w:proofErr w:type="spellStart"/>
            <w:r w:rsidRPr="00DE32FA">
              <w:rPr>
                <w:rFonts w:ascii="Arial" w:hAnsi="Arial" w:cs="Arial"/>
                <w:sz w:val="22"/>
                <w:szCs w:val="22"/>
              </w:rPr>
              <w:t>Гулистон</w:t>
            </w:r>
            <w:proofErr w:type="spellEnd"/>
            <w:r w:rsidRPr="00DE32FA">
              <w:rPr>
                <w:rFonts w:ascii="Arial" w:hAnsi="Arial" w:cs="Arial"/>
                <w:sz w:val="22"/>
                <w:szCs w:val="22"/>
              </w:rPr>
              <w:t xml:space="preserve"> (Таджикистан), было принято решение дальнейшую проработку вопроса об актуализации формы аналитического обзора проводить в рамках рассмотрения вопроса о создании информационного ресурса региональной организации по аккредитации (п. 3.2 протокола). В соответствии с этим решением, вопрос рассматривался на 11-ом заседании Рабочей группы по созданию Региональной организации (ассоциации) по аккредитации (далее – РГ РОА), состоявшемся 09.10.2019 г. в г. </w:t>
            </w:r>
            <w:proofErr w:type="spellStart"/>
            <w:r w:rsidRPr="00DE32FA">
              <w:rPr>
                <w:rFonts w:ascii="Arial" w:hAnsi="Arial" w:cs="Arial"/>
                <w:sz w:val="22"/>
                <w:szCs w:val="22"/>
              </w:rPr>
              <w:t>Нур</w:t>
            </w:r>
            <w:proofErr w:type="spellEnd"/>
            <w:r w:rsidRPr="00DE32FA">
              <w:rPr>
                <w:rFonts w:ascii="Arial" w:hAnsi="Arial" w:cs="Arial"/>
                <w:sz w:val="22"/>
                <w:szCs w:val="22"/>
              </w:rPr>
              <w:t>-Султан (Казахстан), где было отмечено, что предложения по составу информации в отношении субъектов национальных систем аккредитации, которую целесообразно отразить в информационной системе региональной организации по аккредитации с учетом потребностей регуляторов, бизнеса и других заинтересованных сторон, была представлена национальными органами Республики Беларусь и Республики Казахстан (п. 2.4.2 протокола и приложение № 9 к протоколу). На последующих заседаниях РГ РОА данный вопрос не рассматривался.</w:t>
            </w:r>
          </w:p>
          <w:p w:rsidR="007C210E" w:rsidRPr="007C210E" w:rsidRDefault="00DE32FA" w:rsidP="00DE32F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E32FA">
              <w:rPr>
                <w:rFonts w:ascii="Arial" w:hAnsi="Arial" w:cs="Arial"/>
                <w:sz w:val="22"/>
                <w:szCs w:val="22"/>
              </w:rPr>
              <w:t xml:space="preserve">В целом считаем необходимым продолжить в рамках РГ РОА проработку создания информационного ресурса ЕААС в соответствии с задачей, установленной Планом мероприятий (Дорожной картой) по созданию Евразийского сотрудничества </w:t>
            </w:r>
            <w:r w:rsidRPr="00DE32FA">
              <w:rPr>
                <w:rFonts w:ascii="Arial" w:hAnsi="Arial" w:cs="Arial"/>
                <w:sz w:val="22"/>
                <w:szCs w:val="22"/>
              </w:rPr>
              <w:lastRenderedPageBreak/>
              <w:t xml:space="preserve">по аккредитации на 2023 г. Одновременно, исходим из того, что </w:t>
            </w:r>
            <w:r w:rsidRPr="00DE32FA">
              <w:rPr>
                <w:rFonts w:ascii="Arial" w:hAnsi="Arial" w:cs="Arial"/>
                <w:b/>
                <w:sz w:val="22"/>
                <w:szCs w:val="22"/>
              </w:rPr>
              <w:t>возобновление практики подготовки аналитических обзоров по системам аккредитации государств-участников СНГ требует разработки обновленной формы таких обзоров с учетом возможностей национальных органов по аккредитации по предоставлению информации.</w:t>
            </w:r>
          </w:p>
        </w:tc>
      </w:tr>
      <w:tr w:rsidR="00DE32FA" w:rsidRPr="007C210E" w:rsidTr="00101D3E">
        <w:trPr>
          <w:trHeight w:val="372"/>
        </w:trPr>
        <w:tc>
          <w:tcPr>
            <w:tcW w:w="13184" w:type="dxa"/>
            <w:shd w:val="clear" w:color="auto" w:fill="D6E3BC" w:themeFill="accent3" w:themeFillTint="66"/>
          </w:tcPr>
          <w:p w:rsidR="00DE32FA" w:rsidRPr="00DE32FA" w:rsidRDefault="00DE32FA" w:rsidP="00DE32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2FA">
              <w:rPr>
                <w:rFonts w:ascii="Arial" w:hAnsi="Arial" w:cs="Arial"/>
                <w:sz w:val="22"/>
                <w:szCs w:val="22"/>
              </w:rPr>
              <w:lastRenderedPageBreak/>
              <w:t>Республика Узбекистан</w:t>
            </w:r>
          </w:p>
          <w:p w:rsidR="00DE32FA" w:rsidRPr="00DE32FA" w:rsidRDefault="00DE32FA" w:rsidP="00DE32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2FA">
              <w:rPr>
                <w:rFonts w:ascii="Arial" w:hAnsi="Arial" w:cs="Arial"/>
                <w:sz w:val="22"/>
                <w:szCs w:val="22"/>
              </w:rPr>
              <w:t xml:space="preserve">(письмо заместителя директора ГУП «Узбекский центр аккредитации </w:t>
            </w:r>
            <w:proofErr w:type="spellStart"/>
            <w:r w:rsidRPr="00DE32FA">
              <w:rPr>
                <w:rFonts w:ascii="Arial" w:hAnsi="Arial" w:cs="Arial"/>
                <w:sz w:val="22"/>
                <w:szCs w:val="22"/>
              </w:rPr>
              <w:t>З.Ахмедова</w:t>
            </w:r>
            <w:proofErr w:type="spellEnd"/>
          </w:p>
          <w:p w:rsidR="00DE32FA" w:rsidRPr="00DE32FA" w:rsidRDefault="00DE32FA" w:rsidP="00DE32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2FA">
              <w:rPr>
                <w:rFonts w:ascii="Arial" w:hAnsi="Arial" w:cs="Arial"/>
                <w:sz w:val="22"/>
                <w:szCs w:val="22"/>
              </w:rPr>
              <w:t>№ 01/218 от 15.02.2023)</w:t>
            </w:r>
          </w:p>
        </w:tc>
      </w:tr>
      <w:tr w:rsidR="00DE32FA" w:rsidRPr="007C210E" w:rsidTr="00125860">
        <w:trPr>
          <w:trHeight w:val="372"/>
        </w:trPr>
        <w:tc>
          <w:tcPr>
            <w:tcW w:w="13184" w:type="dxa"/>
            <w:shd w:val="clear" w:color="auto" w:fill="D6E3BC" w:themeFill="accent3" w:themeFillTint="66"/>
          </w:tcPr>
          <w:p w:rsidR="00DE32FA" w:rsidRPr="00DE32FA" w:rsidRDefault="00DE32FA" w:rsidP="00DE32F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Инициатива, касательно целесообразности подготовки аналитического обзора по системам аккредитации государств-участников СНГ, </w:t>
            </w:r>
            <w:r w:rsidRPr="00DE32FA">
              <w:rPr>
                <w:rFonts w:ascii="Arial" w:hAnsi="Arial" w:cs="Arial"/>
                <w:b/>
                <w:sz w:val="22"/>
                <w:szCs w:val="22"/>
              </w:rPr>
              <w:t>поддерживается</w:t>
            </w:r>
            <w:r>
              <w:rPr>
                <w:rFonts w:ascii="Arial" w:hAnsi="Arial" w:cs="Arial"/>
                <w:sz w:val="22"/>
                <w:szCs w:val="22"/>
              </w:rPr>
              <w:t>. При этом, полагаем целесообразным разработать единую форму сбора информации, и рассмотреть вопрос о выпуске публикации МГС о действующих системах аккредитации государств-участников СНГ в качестве информационного пособия для органов по оценке соответствия.</w:t>
            </w:r>
          </w:p>
        </w:tc>
      </w:tr>
      <w:tr w:rsidR="00DE32FA" w:rsidRPr="0099119B" w:rsidTr="00DE32FA">
        <w:trPr>
          <w:trHeight w:val="372"/>
        </w:trPr>
        <w:tc>
          <w:tcPr>
            <w:tcW w:w="13184" w:type="dxa"/>
            <w:shd w:val="clear" w:color="auto" w:fill="FDE9D9" w:themeFill="accent6" w:themeFillTint="33"/>
          </w:tcPr>
          <w:p w:rsidR="00DE32FA" w:rsidRPr="0099119B" w:rsidRDefault="00101D3E" w:rsidP="00101D3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9119B">
              <w:rPr>
                <w:rFonts w:ascii="Arial" w:hAnsi="Arial" w:cs="Arial"/>
                <w:b/>
                <w:sz w:val="22"/>
                <w:szCs w:val="22"/>
              </w:rPr>
              <w:t xml:space="preserve">О целесообразности подготовки информации о подходах по порядку применения </w:t>
            </w:r>
            <w:r w:rsidRPr="0099119B">
              <w:rPr>
                <w:rFonts w:ascii="Arial" w:hAnsi="Arial" w:cs="Arial"/>
                <w:b/>
                <w:sz w:val="22"/>
                <w:szCs w:val="22"/>
              </w:rPr>
              <w:br/>
              <w:t>международных документов ILAС, IAF в деятельности по аккредитации государств-участников СНГ</w:t>
            </w:r>
          </w:p>
        </w:tc>
      </w:tr>
      <w:tr w:rsidR="00101D3E" w:rsidRPr="007C210E" w:rsidTr="00101D3E">
        <w:trPr>
          <w:trHeight w:val="372"/>
        </w:trPr>
        <w:tc>
          <w:tcPr>
            <w:tcW w:w="13184" w:type="dxa"/>
            <w:shd w:val="clear" w:color="auto" w:fill="D6E3BC" w:themeFill="accent3" w:themeFillTint="66"/>
          </w:tcPr>
          <w:p w:rsidR="00101D3E" w:rsidRPr="00DE32FA" w:rsidRDefault="00101D3E" w:rsidP="00101D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2FA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</w:p>
          <w:p w:rsidR="00101D3E" w:rsidRPr="00DE32FA" w:rsidRDefault="00101D3E" w:rsidP="00101D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2FA">
              <w:rPr>
                <w:rFonts w:ascii="Arial" w:hAnsi="Arial" w:cs="Arial"/>
                <w:sz w:val="22"/>
                <w:szCs w:val="22"/>
              </w:rPr>
              <w:t>(эл. письмо начальника отдела международного взаимодействия и системы менеджмента</w:t>
            </w:r>
          </w:p>
          <w:p w:rsidR="00101D3E" w:rsidRPr="00DE32FA" w:rsidRDefault="00101D3E" w:rsidP="00101D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2FA">
              <w:rPr>
                <w:rFonts w:ascii="Arial" w:hAnsi="Arial" w:cs="Arial"/>
                <w:sz w:val="22"/>
                <w:szCs w:val="22"/>
              </w:rPr>
              <w:t>Управления правового обеспечения и международного взаимодействия</w:t>
            </w:r>
          </w:p>
          <w:p w:rsidR="00101D3E" w:rsidRDefault="00101D3E" w:rsidP="00101D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32FA">
              <w:rPr>
                <w:rFonts w:ascii="Arial" w:hAnsi="Arial" w:cs="Arial"/>
                <w:sz w:val="22"/>
                <w:szCs w:val="22"/>
              </w:rPr>
              <w:t>Федеральной службы по аккредитации Подвязникова А.А. от 13.02.2023)</w:t>
            </w:r>
          </w:p>
        </w:tc>
      </w:tr>
      <w:tr w:rsidR="00101D3E" w:rsidRPr="007C210E" w:rsidTr="00101D3E">
        <w:trPr>
          <w:trHeight w:val="372"/>
        </w:trPr>
        <w:tc>
          <w:tcPr>
            <w:tcW w:w="13184" w:type="dxa"/>
            <w:shd w:val="clear" w:color="auto" w:fill="D6E3BC" w:themeFill="accent3" w:themeFillTint="66"/>
          </w:tcPr>
          <w:p w:rsidR="00101D3E" w:rsidRPr="00DE32FA" w:rsidRDefault="00101D3E" w:rsidP="00101D3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1D3E">
              <w:rPr>
                <w:rFonts w:ascii="Arial" w:hAnsi="Arial" w:cs="Arial"/>
                <w:sz w:val="22"/>
                <w:szCs w:val="22"/>
              </w:rPr>
              <w:t xml:space="preserve">Инициатива о представлении в рамках НТКА национальными органами по аккредитации государств-участников СНГ информации о подходах по порядку применения международных документов ILAC/IAF в деятельности по аккредитации представляется полезной прежде всего с точки зрения совершенствования методологической работы по внедрению в рамках Национальной системы аккредитации обязательных требований международных организаций по аккредитации. При этом, такая деятельность вызывает интерес именно с точки зрения обмена опытом и информирования о лучших практиках, что же касается выработки единой модели внедрения обязательных документов ILAC/IAF, то </w:t>
            </w:r>
            <w:r w:rsidRPr="00101D3E">
              <w:rPr>
                <w:rFonts w:ascii="Arial" w:hAnsi="Arial" w:cs="Arial"/>
                <w:b/>
                <w:sz w:val="22"/>
                <w:szCs w:val="22"/>
              </w:rPr>
              <w:t>это видится нецелесообразным</w:t>
            </w:r>
            <w:r w:rsidRPr="00101D3E">
              <w:rPr>
                <w:rFonts w:ascii="Arial" w:hAnsi="Arial" w:cs="Arial"/>
                <w:sz w:val="22"/>
                <w:szCs w:val="22"/>
              </w:rPr>
              <w:t xml:space="preserve"> с учетом имеющейся вариативности в организации и составе нормативной базы национальных систем аккредитации государств-участников СНГ.</w:t>
            </w:r>
          </w:p>
        </w:tc>
      </w:tr>
      <w:tr w:rsidR="00101D3E" w:rsidRPr="007C210E" w:rsidTr="00101D3E">
        <w:trPr>
          <w:trHeight w:val="372"/>
        </w:trPr>
        <w:tc>
          <w:tcPr>
            <w:tcW w:w="13184" w:type="dxa"/>
            <w:shd w:val="clear" w:color="auto" w:fill="D6E3BC" w:themeFill="accent3" w:themeFillTint="66"/>
          </w:tcPr>
          <w:p w:rsidR="00101D3E" w:rsidRPr="00101D3E" w:rsidRDefault="00101D3E" w:rsidP="00101D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1D3E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:rsidR="00101D3E" w:rsidRPr="00101D3E" w:rsidRDefault="00101D3E" w:rsidP="00101D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1D3E">
              <w:rPr>
                <w:rFonts w:ascii="Arial" w:hAnsi="Arial" w:cs="Arial"/>
                <w:sz w:val="22"/>
                <w:szCs w:val="22"/>
              </w:rPr>
              <w:t>(письмо заместителя директора ГУП «Узбекский центр аккредитации З.</w:t>
            </w:r>
            <w:r w:rsidR="002F67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D3E">
              <w:rPr>
                <w:rFonts w:ascii="Arial" w:hAnsi="Arial" w:cs="Arial"/>
                <w:sz w:val="22"/>
                <w:szCs w:val="22"/>
              </w:rPr>
              <w:t>Ахмедова</w:t>
            </w:r>
          </w:p>
          <w:p w:rsidR="00101D3E" w:rsidRPr="00101D3E" w:rsidRDefault="00101D3E" w:rsidP="00101D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1D3E">
              <w:rPr>
                <w:rFonts w:ascii="Arial" w:hAnsi="Arial" w:cs="Arial"/>
                <w:sz w:val="22"/>
                <w:szCs w:val="22"/>
              </w:rPr>
              <w:t>№ 01/218 от 15.02.2023)</w:t>
            </w:r>
          </w:p>
        </w:tc>
      </w:tr>
      <w:tr w:rsidR="00101D3E" w:rsidRPr="007C210E" w:rsidTr="00101D3E">
        <w:trPr>
          <w:trHeight w:val="372"/>
        </w:trPr>
        <w:tc>
          <w:tcPr>
            <w:tcW w:w="13184" w:type="dxa"/>
            <w:shd w:val="clear" w:color="auto" w:fill="D6E3BC" w:themeFill="accent3" w:themeFillTint="66"/>
          </w:tcPr>
          <w:p w:rsidR="00101D3E" w:rsidRPr="00101D3E" w:rsidRDefault="00101D3E" w:rsidP="00101D3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1D3E">
              <w:rPr>
                <w:rFonts w:ascii="Arial" w:hAnsi="Arial" w:cs="Arial"/>
                <w:b/>
                <w:sz w:val="22"/>
                <w:szCs w:val="22"/>
              </w:rPr>
              <w:t xml:space="preserve">Поддерживаем </w:t>
            </w:r>
            <w:r>
              <w:rPr>
                <w:rFonts w:ascii="Arial" w:hAnsi="Arial" w:cs="Arial"/>
                <w:sz w:val="22"/>
                <w:szCs w:val="22"/>
              </w:rPr>
              <w:t xml:space="preserve">предложение о подготовке информации о подходах по порядку применения международных документов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ILAC</w:t>
            </w:r>
            <w:r w:rsidRPr="00101D3E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IAF</w:t>
            </w:r>
            <w:r w:rsidRPr="00101D3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в деятельности по аккредитации государств-участников СНГ. При этом, полагаем возможным членам НТКА инициировать выступление по данной теме с краткой презентацией в рамках последующих заседаний.</w:t>
            </w:r>
          </w:p>
        </w:tc>
      </w:tr>
    </w:tbl>
    <w:p w:rsidR="00EE356C" w:rsidRDefault="00EE356C" w:rsidP="00CE4100">
      <w:pPr>
        <w:rPr>
          <w:sz w:val="22"/>
          <w:szCs w:val="22"/>
        </w:rPr>
      </w:pPr>
    </w:p>
    <w:sectPr w:rsidR="00EE356C" w:rsidSect="00CE4100">
      <w:headerReference w:type="default" r:id="rId8"/>
      <w:footerReference w:type="default" r:id="rId9"/>
      <w:pgSz w:w="16838" w:h="11906" w:orient="landscape"/>
      <w:pgMar w:top="567" w:right="2096" w:bottom="993" w:left="1701" w:header="708" w:footer="24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995" w:rsidRDefault="006C7995" w:rsidP="00E97949">
      <w:r>
        <w:separator/>
      </w:r>
    </w:p>
  </w:endnote>
  <w:endnote w:type="continuationSeparator" w:id="0">
    <w:p w:rsidR="006C7995" w:rsidRDefault="006C7995" w:rsidP="00E97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336" w:rsidRPr="002B7D5D" w:rsidRDefault="00413336">
    <w:pPr>
      <w:pStyle w:val="a7"/>
      <w:rPr>
        <w:sz w:val="20"/>
      </w:rPr>
    </w:pPr>
    <w:r w:rsidRPr="002B7D5D">
      <w:rPr>
        <w:sz w:val="20"/>
      </w:rPr>
      <w:t xml:space="preserve">Приложение № </w:t>
    </w:r>
    <w:r w:rsidR="00AD01DF" w:rsidRPr="00AD01DF">
      <w:rPr>
        <w:sz w:val="20"/>
      </w:rPr>
      <w:t>5</w:t>
    </w:r>
    <w:r w:rsidRPr="002B7D5D">
      <w:rPr>
        <w:sz w:val="20"/>
      </w:rPr>
      <w:t xml:space="preserve"> к протоколу РГ РОА № </w:t>
    </w:r>
    <w:r w:rsidR="00804804">
      <w:rPr>
        <w:sz w:val="20"/>
      </w:rPr>
      <w:t>1</w:t>
    </w:r>
    <w:r w:rsidR="0063174D">
      <w:rPr>
        <w:sz w:val="20"/>
      </w:rPr>
      <w:t>7</w:t>
    </w:r>
    <w:r w:rsidRPr="002B7D5D">
      <w:rPr>
        <w:sz w:val="20"/>
      </w:rPr>
      <w:t>-20</w:t>
    </w:r>
    <w:r w:rsidR="00694637">
      <w:rPr>
        <w:sz w:val="20"/>
      </w:rPr>
      <w:t>2</w:t>
    </w:r>
    <w:r w:rsidR="0063174D">
      <w:rPr>
        <w:sz w:val="20"/>
      </w:rPr>
      <w:t>3</w:t>
    </w:r>
  </w:p>
  <w:p w:rsidR="00413336" w:rsidRPr="002B7D5D" w:rsidRDefault="00413336">
    <w:pPr>
      <w:pStyle w:val="a7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995" w:rsidRDefault="006C7995" w:rsidP="00E97949">
      <w:r>
        <w:separator/>
      </w:r>
    </w:p>
  </w:footnote>
  <w:footnote w:type="continuationSeparator" w:id="0">
    <w:p w:rsidR="006C7995" w:rsidRDefault="006C7995" w:rsidP="00E979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336" w:rsidRDefault="00413336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70623"/>
    <w:multiLevelType w:val="multilevel"/>
    <w:tmpl w:val="173CC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 w15:restartNumberingAfterBreak="0">
    <w:nsid w:val="0A866589"/>
    <w:multiLevelType w:val="multilevel"/>
    <w:tmpl w:val="FC328E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13"/>
        </w:tabs>
        <w:ind w:left="18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2" w15:restartNumberingAfterBreak="0">
    <w:nsid w:val="0C571C42"/>
    <w:multiLevelType w:val="hybridMultilevel"/>
    <w:tmpl w:val="64B6F21A"/>
    <w:lvl w:ilvl="0" w:tplc="FB582B5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2AB6017"/>
    <w:multiLevelType w:val="hybridMultilevel"/>
    <w:tmpl w:val="6F3AA3FC"/>
    <w:lvl w:ilvl="0" w:tplc="3E2EEF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242888"/>
    <w:multiLevelType w:val="hybridMultilevel"/>
    <w:tmpl w:val="4EDCD2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1FD2821"/>
    <w:multiLevelType w:val="hybridMultilevel"/>
    <w:tmpl w:val="67BAB176"/>
    <w:lvl w:ilvl="0" w:tplc="0558573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BB6C8E"/>
    <w:multiLevelType w:val="hybridMultilevel"/>
    <w:tmpl w:val="7DE07F20"/>
    <w:lvl w:ilvl="0" w:tplc="87986B94">
      <w:start w:val="1"/>
      <w:numFmt w:val="decimal"/>
      <w:lvlText w:val="6.%1 "/>
      <w:lvlJc w:val="left"/>
      <w:pPr>
        <w:ind w:left="1429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9D30D42"/>
    <w:multiLevelType w:val="multilevel"/>
    <w:tmpl w:val="7F80EE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B3E69E8"/>
    <w:multiLevelType w:val="hybridMultilevel"/>
    <w:tmpl w:val="02467A5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004189"/>
    <w:multiLevelType w:val="hybridMultilevel"/>
    <w:tmpl w:val="3C24ACF6"/>
    <w:lvl w:ilvl="0" w:tplc="133EA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5FE3187"/>
    <w:multiLevelType w:val="hybridMultilevel"/>
    <w:tmpl w:val="91B41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2B0EBC"/>
    <w:multiLevelType w:val="multilevel"/>
    <w:tmpl w:val="A0C656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7"/>
      <w:numFmt w:val="decimal"/>
      <w:isLgl/>
      <w:lvlText w:val="%1.%2."/>
      <w:lvlJc w:val="left"/>
      <w:pPr>
        <w:ind w:left="756" w:hanging="3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FD53980"/>
    <w:multiLevelType w:val="hybridMultilevel"/>
    <w:tmpl w:val="F7621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717F5"/>
    <w:multiLevelType w:val="hybridMultilevel"/>
    <w:tmpl w:val="A9442442"/>
    <w:lvl w:ilvl="0" w:tplc="1E1808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1DA02E2"/>
    <w:multiLevelType w:val="multilevel"/>
    <w:tmpl w:val="A956F8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6A738AF"/>
    <w:multiLevelType w:val="hybridMultilevel"/>
    <w:tmpl w:val="AD50627A"/>
    <w:lvl w:ilvl="0" w:tplc="E51E72A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951665B"/>
    <w:multiLevelType w:val="hybridMultilevel"/>
    <w:tmpl w:val="346C7D5A"/>
    <w:lvl w:ilvl="0" w:tplc="BF5CC9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E59683F"/>
    <w:multiLevelType w:val="hybridMultilevel"/>
    <w:tmpl w:val="1F52D9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7"/>
  </w:num>
  <w:num w:numId="5">
    <w:abstractNumId w:val="15"/>
  </w:num>
  <w:num w:numId="6">
    <w:abstractNumId w:val="2"/>
  </w:num>
  <w:num w:numId="7">
    <w:abstractNumId w:val="12"/>
  </w:num>
  <w:num w:numId="8">
    <w:abstractNumId w:val="11"/>
  </w:num>
  <w:num w:numId="9">
    <w:abstractNumId w:val="8"/>
  </w:num>
  <w:num w:numId="10">
    <w:abstractNumId w:val="16"/>
  </w:num>
  <w:num w:numId="11">
    <w:abstractNumId w:val="4"/>
  </w:num>
  <w:num w:numId="12">
    <w:abstractNumId w:val="10"/>
  </w:num>
  <w:num w:numId="13">
    <w:abstractNumId w:val="17"/>
  </w:num>
  <w:num w:numId="14">
    <w:abstractNumId w:val="9"/>
  </w:num>
  <w:num w:numId="15">
    <w:abstractNumId w:val="1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9AC"/>
    <w:rsid w:val="000075FF"/>
    <w:rsid w:val="00007725"/>
    <w:rsid w:val="00024F1C"/>
    <w:rsid w:val="000266D1"/>
    <w:rsid w:val="00033BF5"/>
    <w:rsid w:val="00080994"/>
    <w:rsid w:val="00082001"/>
    <w:rsid w:val="00083D55"/>
    <w:rsid w:val="00084328"/>
    <w:rsid w:val="000856C3"/>
    <w:rsid w:val="000974DC"/>
    <w:rsid w:val="000A3332"/>
    <w:rsid w:val="000A384B"/>
    <w:rsid w:val="000B3035"/>
    <w:rsid w:val="000E0B5C"/>
    <w:rsid w:val="000E3934"/>
    <w:rsid w:val="000F2B54"/>
    <w:rsid w:val="00101BE8"/>
    <w:rsid w:val="00101D3E"/>
    <w:rsid w:val="00115673"/>
    <w:rsid w:val="00124235"/>
    <w:rsid w:val="00131F80"/>
    <w:rsid w:val="00134E2A"/>
    <w:rsid w:val="00136631"/>
    <w:rsid w:val="00140E0F"/>
    <w:rsid w:val="00146689"/>
    <w:rsid w:val="00150E05"/>
    <w:rsid w:val="00151A9A"/>
    <w:rsid w:val="001559E6"/>
    <w:rsid w:val="0016100C"/>
    <w:rsid w:val="001619D3"/>
    <w:rsid w:val="0017100A"/>
    <w:rsid w:val="00183AD2"/>
    <w:rsid w:val="00197CE0"/>
    <w:rsid w:val="001A4EFA"/>
    <w:rsid w:val="001A53EF"/>
    <w:rsid w:val="001A66D6"/>
    <w:rsid w:val="001C1245"/>
    <w:rsid w:val="001C1D2F"/>
    <w:rsid w:val="001D48D9"/>
    <w:rsid w:val="001D5B60"/>
    <w:rsid w:val="001E471F"/>
    <w:rsid w:val="001F799B"/>
    <w:rsid w:val="00224FDC"/>
    <w:rsid w:val="00227036"/>
    <w:rsid w:val="002315F8"/>
    <w:rsid w:val="0023350C"/>
    <w:rsid w:val="00254595"/>
    <w:rsid w:val="00261179"/>
    <w:rsid w:val="0027652B"/>
    <w:rsid w:val="002903C2"/>
    <w:rsid w:val="0029653A"/>
    <w:rsid w:val="002C2208"/>
    <w:rsid w:val="002F3C22"/>
    <w:rsid w:val="002F6726"/>
    <w:rsid w:val="00321A79"/>
    <w:rsid w:val="00330090"/>
    <w:rsid w:val="00331715"/>
    <w:rsid w:val="00334BE7"/>
    <w:rsid w:val="00342886"/>
    <w:rsid w:val="00356644"/>
    <w:rsid w:val="00365094"/>
    <w:rsid w:val="00372EBE"/>
    <w:rsid w:val="00381135"/>
    <w:rsid w:val="003A3A10"/>
    <w:rsid w:val="003B160D"/>
    <w:rsid w:val="003B3E93"/>
    <w:rsid w:val="003B60C5"/>
    <w:rsid w:val="003D6FB4"/>
    <w:rsid w:val="003E3A7D"/>
    <w:rsid w:val="003F33CC"/>
    <w:rsid w:val="00405197"/>
    <w:rsid w:val="004057F8"/>
    <w:rsid w:val="00413336"/>
    <w:rsid w:val="0042175F"/>
    <w:rsid w:val="004266EC"/>
    <w:rsid w:val="004624B1"/>
    <w:rsid w:val="004710B1"/>
    <w:rsid w:val="00487F84"/>
    <w:rsid w:val="004A1BFC"/>
    <w:rsid w:val="004B149A"/>
    <w:rsid w:val="004B510C"/>
    <w:rsid w:val="004C22BD"/>
    <w:rsid w:val="004C46F6"/>
    <w:rsid w:val="004C7580"/>
    <w:rsid w:val="004D1FA2"/>
    <w:rsid w:val="00503755"/>
    <w:rsid w:val="0050488F"/>
    <w:rsid w:val="00515BE1"/>
    <w:rsid w:val="0051739F"/>
    <w:rsid w:val="00526D1E"/>
    <w:rsid w:val="00536FE5"/>
    <w:rsid w:val="00547EDC"/>
    <w:rsid w:val="005735D7"/>
    <w:rsid w:val="00580A29"/>
    <w:rsid w:val="0058700B"/>
    <w:rsid w:val="005A0821"/>
    <w:rsid w:val="005B7629"/>
    <w:rsid w:val="005C0C43"/>
    <w:rsid w:val="005C60A9"/>
    <w:rsid w:val="005D6941"/>
    <w:rsid w:val="00620F41"/>
    <w:rsid w:val="0063174D"/>
    <w:rsid w:val="00645963"/>
    <w:rsid w:val="00694637"/>
    <w:rsid w:val="006B1955"/>
    <w:rsid w:val="006C614D"/>
    <w:rsid w:val="006C7995"/>
    <w:rsid w:val="006C7D5B"/>
    <w:rsid w:val="006D0289"/>
    <w:rsid w:val="006E2576"/>
    <w:rsid w:val="006F0B69"/>
    <w:rsid w:val="006F5096"/>
    <w:rsid w:val="006F65A7"/>
    <w:rsid w:val="007141C8"/>
    <w:rsid w:val="007159D2"/>
    <w:rsid w:val="00715F61"/>
    <w:rsid w:val="007512FC"/>
    <w:rsid w:val="0077681A"/>
    <w:rsid w:val="007932B0"/>
    <w:rsid w:val="007C210E"/>
    <w:rsid w:val="007C29D0"/>
    <w:rsid w:val="007C5EFB"/>
    <w:rsid w:val="007D6365"/>
    <w:rsid w:val="007F5565"/>
    <w:rsid w:val="007F7782"/>
    <w:rsid w:val="00804804"/>
    <w:rsid w:val="008103CE"/>
    <w:rsid w:val="0083566B"/>
    <w:rsid w:val="00837E7C"/>
    <w:rsid w:val="0084029E"/>
    <w:rsid w:val="00843AC1"/>
    <w:rsid w:val="008514EE"/>
    <w:rsid w:val="00854451"/>
    <w:rsid w:val="00857822"/>
    <w:rsid w:val="008611A4"/>
    <w:rsid w:val="008964F7"/>
    <w:rsid w:val="008A3C30"/>
    <w:rsid w:val="008A6945"/>
    <w:rsid w:val="008B46D3"/>
    <w:rsid w:val="008B721D"/>
    <w:rsid w:val="008C3E65"/>
    <w:rsid w:val="008C79AC"/>
    <w:rsid w:val="008E1699"/>
    <w:rsid w:val="008E56B7"/>
    <w:rsid w:val="009006FD"/>
    <w:rsid w:val="00922FF7"/>
    <w:rsid w:val="009251C5"/>
    <w:rsid w:val="00931321"/>
    <w:rsid w:val="00942379"/>
    <w:rsid w:val="0094587E"/>
    <w:rsid w:val="009476BD"/>
    <w:rsid w:val="00956934"/>
    <w:rsid w:val="009674C5"/>
    <w:rsid w:val="0098531C"/>
    <w:rsid w:val="0099119B"/>
    <w:rsid w:val="009A6266"/>
    <w:rsid w:val="009A6D8C"/>
    <w:rsid w:val="009B3615"/>
    <w:rsid w:val="009B3BA8"/>
    <w:rsid w:val="009B6A0E"/>
    <w:rsid w:val="009C2396"/>
    <w:rsid w:val="009D3BA3"/>
    <w:rsid w:val="009F59BC"/>
    <w:rsid w:val="00A166EF"/>
    <w:rsid w:val="00A279B4"/>
    <w:rsid w:val="00A32EEC"/>
    <w:rsid w:val="00A46A1F"/>
    <w:rsid w:val="00A621C2"/>
    <w:rsid w:val="00A72820"/>
    <w:rsid w:val="00AA3A03"/>
    <w:rsid w:val="00AB0298"/>
    <w:rsid w:val="00AB150F"/>
    <w:rsid w:val="00AB601C"/>
    <w:rsid w:val="00AC0442"/>
    <w:rsid w:val="00AC0D84"/>
    <w:rsid w:val="00AC5A80"/>
    <w:rsid w:val="00AD01DF"/>
    <w:rsid w:val="00AE50EE"/>
    <w:rsid w:val="00AF186D"/>
    <w:rsid w:val="00B067E6"/>
    <w:rsid w:val="00B20D03"/>
    <w:rsid w:val="00B25A09"/>
    <w:rsid w:val="00B33EC0"/>
    <w:rsid w:val="00B4331F"/>
    <w:rsid w:val="00B55595"/>
    <w:rsid w:val="00BA70D2"/>
    <w:rsid w:val="00BB1255"/>
    <w:rsid w:val="00BB1D9F"/>
    <w:rsid w:val="00BB36FB"/>
    <w:rsid w:val="00BE14AB"/>
    <w:rsid w:val="00C01D25"/>
    <w:rsid w:val="00C108E4"/>
    <w:rsid w:val="00C3405D"/>
    <w:rsid w:val="00C52C81"/>
    <w:rsid w:val="00C6456F"/>
    <w:rsid w:val="00C75524"/>
    <w:rsid w:val="00C93929"/>
    <w:rsid w:val="00CA1BB3"/>
    <w:rsid w:val="00CC354E"/>
    <w:rsid w:val="00CE4100"/>
    <w:rsid w:val="00D129F5"/>
    <w:rsid w:val="00D14137"/>
    <w:rsid w:val="00D256FE"/>
    <w:rsid w:val="00D33C20"/>
    <w:rsid w:val="00D37716"/>
    <w:rsid w:val="00D526FC"/>
    <w:rsid w:val="00D64A4E"/>
    <w:rsid w:val="00D71EF2"/>
    <w:rsid w:val="00D753BF"/>
    <w:rsid w:val="00D82B41"/>
    <w:rsid w:val="00D853A0"/>
    <w:rsid w:val="00DA032A"/>
    <w:rsid w:val="00DD43D6"/>
    <w:rsid w:val="00DD4665"/>
    <w:rsid w:val="00DD4F4C"/>
    <w:rsid w:val="00DE32FA"/>
    <w:rsid w:val="00E30B5E"/>
    <w:rsid w:val="00E43731"/>
    <w:rsid w:val="00E53261"/>
    <w:rsid w:val="00E5498D"/>
    <w:rsid w:val="00E57BB0"/>
    <w:rsid w:val="00E76FB7"/>
    <w:rsid w:val="00E775B3"/>
    <w:rsid w:val="00E97949"/>
    <w:rsid w:val="00EB1FDD"/>
    <w:rsid w:val="00EC34BC"/>
    <w:rsid w:val="00EE356C"/>
    <w:rsid w:val="00EE35C4"/>
    <w:rsid w:val="00EF2D78"/>
    <w:rsid w:val="00F11DB8"/>
    <w:rsid w:val="00F127FC"/>
    <w:rsid w:val="00F1790D"/>
    <w:rsid w:val="00F2547A"/>
    <w:rsid w:val="00F27F5E"/>
    <w:rsid w:val="00F452E3"/>
    <w:rsid w:val="00F532BC"/>
    <w:rsid w:val="00F55474"/>
    <w:rsid w:val="00F654B6"/>
    <w:rsid w:val="00F65958"/>
    <w:rsid w:val="00F67B03"/>
    <w:rsid w:val="00F90196"/>
    <w:rsid w:val="00F95AFE"/>
    <w:rsid w:val="00FB11FC"/>
    <w:rsid w:val="00FE25BA"/>
    <w:rsid w:val="00FF4D17"/>
    <w:rsid w:val="00FF6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BC69F8-5742-4E9D-B166-6B1E016F9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56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1A9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151A9A"/>
    <w:pPr>
      <w:jc w:val="center"/>
    </w:pPr>
    <w:rPr>
      <w:rFonts w:ascii="Times New Roman CYR" w:hAnsi="Times New Roman CYR"/>
      <w:b/>
    </w:rPr>
  </w:style>
  <w:style w:type="character" w:customStyle="1" w:styleId="a6">
    <w:name w:val="Основной текст Знак"/>
    <w:basedOn w:val="a0"/>
    <w:link w:val="a5"/>
    <w:rsid w:val="00151A9A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151A9A"/>
    <w:pPr>
      <w:spacing w:after="120" w:line="240" w:lineRule="exact"/>
      <w:jc w:val="both"/>
    </w:pPr>
    <w:rPr>
      <w:rFonts w:ascii="Times New Roman CYR" w:hAnsi="Times New Roman CYR"/>
      <w:sz w:val="24"/>
    </w:rPr>
  </w:style>
  <w:style w:type="character" w:customStyle="1" w:styleId="20">
    <w:name w:val="Основной текст 2 Знак"/>
    <w:basedOn w:val="a0"/>
    <w:link w:val="2"/>
    <w:rsid w:val="00151A9A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51A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9">
    <w:name w:val="Table Grid"/>
    <w:basedOn w:val="a1"/>
    <w:uiPriority w:val="39"/>
    <w:rsid w:val="006E2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42379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14668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46689"/>
    <w:pPr>
      <w:widowControl w:val="0"/>
      <w:shd w:val="clear" w:color="auto" w:fill="FFFFFF"/>
      <w:overflowPunct/>
      <w:autoSpaceDE/>
      <w:autoSpaceDN/>
      <w:adjustRightInd/>
      <w:spacing w:before="240" w:line="295" w:lineRule="exact"/>
      <w:jc w:val="both"/>
    </w:pPr>
    <w:rPr>
      <w:sz w:val="26"/>
      <w:szCs w:val="26"/>
      <w:lang w:eastAsia="en-US"/>
    </w:rPr>
  </w:style>
  <w:style w:type="character" w:customStyle="1" w:styleId="23">
    <w:name w:val="Основной текст (2) + Полужирный"/>
    <w:basedOn w:val="21"/>
    <w:rsid w:val="005870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table" w:customStyle="1" w:styleId="1">
    <w:name w:val="Сетка таблицы1"/>
    <w:basedOn w:val="a1"/>
    <w:next w:val="a9"/>
    <w:uiPriority w:val="59"/>
    <w:rsid w:val="005B76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EE35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E356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">
    <w:name w:val="Основной текст (7)_"/>
    <w:basedOn w:val="a0"/>
    <w:link w:val="70"/>
    <w:rsid w:val="00DD466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D4665"/>
    <w:pPr>
      <w:widowControl w:val="0"/>
      <w:shd w:val="clear" w:color="auto" w:fill="FFFFFF"/>
      <w:overflowPunct/>
      <w:autoSpaceDE/>
      <w:autoSpaceDN/>
      <w:adjustRightInd/>
      <w:spacing w:line="256" w:lineRule="exact"/>
    </w:pPr>
    <w:rPr>
      <w:sz w:val="20"/>
      <w:lang w:eastAsia="en-US"/>
    </w:rPr>
  </w:style>
  <w:style w:type="paragraph" w:styleId="ad">
    <w:name w:val="No Spacing"/>
    <w:uiPriority w:val="1"/>
    <w:qFormat/>
    <w:rsid w:val="007512F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Hyperlink"/>
    <w:basedOn w:val="a0"/>
    <w:uiPriority w:val="99"/>
    <w:unhideWhenUsed/>
    <w:rsid w:val="00F95A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02B4A-F782-4170-B655-86B2A226D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1366</Words>
  <Characters>7790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client801_11</dc:creator>
  <cp:lastModifiedBy>Анна Шинкарёва</cp:lastModifiedBy>
  <cp:revision>32</cp:revision>
  <dcterms:created xsi:type="dcterms:W3CDTF">2022-09-19T12:31:00Z</dcterms:created>
  <dcterms:modified xsi:type="dcterms:W3CDTF">2023-05-16T08:17:00Z</dcterms:modified>
</cp:coreProperties>
</file>